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spacing w:line="276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What do these keys do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Cut out and stick the short descriptions at the end of the line that points to the correct key on the keyboard.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781050</wp:posOffset>
            </wp:positionH>
            <wp:positionV relativeFrom="paragraph">
              <wp:posOffset>123825</wp:posOffset>
            </wp:positionV>
            <wp:extent cx="7300913" cy="3672688"/>
            <wp:effectExtent b="0" l="0" r="0" t="0"/>
            <wp:wrapSquare wrapText="bothSides" distB="114300" distT="114300" distL="114300" distR="114300"/>
            <wp:docPr id="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00913" cy="36726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Cut out and stick the short descriptions at the end of the line that points to the correct key on the keyboard. </w:t>
      </w:r>
    </w:p>
    <w:p w:rsidR="00000000" w:rsidDel="00000000" w:rsidP="00000000" w:rsidRDefault="00000000" w:rsidRPr="00000000" w14:paraId="00000023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</w:rPr>
        <mc:AlternateContent>
          <mc:Choice Requires="wpg">
            <w:drawing>
              <wp:inline distB="114300" distT="114300" distL="114300" distR="114300">
                <wp:extent cx="1562100" cy="472063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440125" y="697425"/>
                          <a:ext cx="1710000" cy="505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icksand" w:cs="Quicksand" w:eastAsia="Quicksand" w:hAnsi="Quicksa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Adds a space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562100" cy="472063"/>
                <wp:effectExtent b="0" l="0" r="0" t="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4720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</w:rPr>
        <mc:AlternateContent>
          <mc:Choice Requires="wpg">
            <w:drawing>
              <wp:inline distB="114300" distT="114300" distL="114300" distR="114300">
                <wp:extent cx="1733550" cy="485775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2429175" y="758400"/>
                          <a:ext cx="1710000" cy="466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icksand" w:cs="Quicksand" w:eastAsia="Quicksand" w:hAnsi="Quicksa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Adds a letter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33550" cy="485775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3550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</w:rPr>
        <mc:AlternateContent>
          <mc:Choice Requires="wpg">
            <w:drawing>
              <wp:inline distB="114300" distT="114300" distL="114300" distR="114300">
                <wp:extent cx="2476500" cy="485775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 txBox="1"/>
                      <wps:cNvPr id="7" name="Shape 7"/>
                      <wps:spPr>
                        <a:xfrm>
                          <a:off x="2302875" y="777825"/>
                          <a:ext cx="2458200" cy="466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icksand" w:cs="Quicksand" w:eastAsia="Quicksand" w:hAnsi="Quicksa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Letters are typed as capital letters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476500" cy="485775"/>
                <wp:effectExtent b="0" l="0" r="0" t="0"/>
                <wp:docPr id="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76500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</w:rPr>
        <mc:AlternateContent>
          <mc:Choice Requires="wpg">
            <w:drawing>
              <wp:inline distB="114300" distT="114300" distL="114300" distR="114300">
                <wp:extent cx="2047875" cy="48577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2302875" y="777825"/>
                          <a:ext cx="2030700" cy="466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icksand" w:cs="Quicksand" w:eastAsia="Quicksand" w:hAnsi="Quicksa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Takes away text</w:t>
                            </w:r>
                            <w:r w:rsidDel="00000000" w:rsidR="00000000" w:rsidRPr="00000000">
                              <w:rPr>
                                <w:rFonts w:ascii="Quicksand" w:cs="Quicksand" w:eastAsia="Quicksand" w:hAnsi="Quicksa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47875" cy="485775"/>
                <wp:effectExtent b="0" l="0" r="0" t="0"/>
                <wp:docPr id="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87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</w:rPr>
        <mc:AlternateContent>
          <mc:Choice Requires="wpg">
            <w:drawing>
              <wp:inline distB="114300" distT="114300" distL="114300" distR="114300">
                <wp:extent cx="2047875" cy="485775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 txBox="1"/>
                      <wps:cNvPr id="6" name="Shape 6"/>
                      <wps:spPr>
                        <a:xfrm>
                          <a:off x="2186300" y="777825"/>
                          <a:ext cx="2030700" cy="466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icksand" w:cs="Quicksand" w:eastAsia="Quicksand" w:hAnsi="Quicksa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Moves down a line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047875" cy="485775"/>
                <wp:effectExtent b="0" l="0" r="0" t="0"/>
                <wp:docPr id="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87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</w:rPr>
        <mc:AlternateContent>
          <mc:Choice Requires="wpg">
            <w:drawing>
              <wp:inline distB="114300" distT="114300" distL="114300" distR="114300">
                <wp:extent cx="1781175" cy="485775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5" name="Shape 5"/>
                      <wps:spPr>
                        <a:xfrm>
                          <a:off x="2302875" y="777825"/>
                          <a:ext cx="1758600" cy="4665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dash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Quicksand" w:cs="Quicksand" w:eastAsia="Quicksand" w:hAnsi="Quicksand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Adds a number 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81175" cy="485775"/>
                <wp:effectExtent b="0" l="0" r="0" t="0"/>
                <wp:docPr id="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1175" cy="48577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Image source: https://pixabay.com/vectors/computer-keyboard-home-computer-158770/</w:t>
      </w:r>
    </w:p>
    <w:p w:rsidR="00000000" w:rsidDel="00000000" w:rsidP="00000000" w:rsidRDefault="00000000" w:rsidRPr="00000000" w14:paraId="00000031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available online at </w:t>
      </w:r>
      <w:hyperlink r:id="rId13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ncce.io/cm1w-3-a3-w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 Resources are updated regularly — please check that you are using the latest version.</w:t>
      </w:r>
    </w:p>
    <w:p w:rsidR="00000000" w:rsidDel="00000000" w:rsidP="00000000" w:rsidRDefault="00000000" w:rsidRPr="00000000" w14:paraId="00000033">
      <w:pPr>
        <w:spacing w:line="276" w:lineRule="auto"/>
        <w:jc w:val="both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under the Open Government Licence, version 3. For more information on this licence, see </w:t>
      </w:r>
      <w:hyperlink r:id="rId14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ncce.io/ogl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  <w:tab/>
      </w:r>
      <w:r w:rsidDel="00000000" w:rsidR="00000000" w:rsidRPr="00000000">
        <w:rPr>
          <w:rtl w:val="0"/>
        </w:rPr>
      </w:r>
    </w:p>
    <w:sectPr>
      <w:headerReference r:id="rId15" w:type="default"/>
      <w:footerReference r:id="rId16" w:type="default"/>
      <w:pgSz w:h="11906" w:w="16838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>
        <w:sz w:val="18"/>
        <w:szCs w:val="18"/>
      </w:rPr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06-09-19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spacing w:line="276" w:lineRule="auto"/>
      <w:ind w:left="-720" w:right="-690" w:firstLine="0"/>
      <w:rPr>
        <w:rFonts w:ascii="Arial" w:cs="Arial" w:eastAsia="Arial" w:hAnsi="Arial"/>
        <w:color w:val="66666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-866774</wp:posOffset>
          </wp:positionH>
          <wp:positionV relativeFrom="paragraph">
            <wp:posOffset>47625</wp:posOffset>
          </wp:positionV>
          <wp:extent cx="866775" cy="866775"/>
          <wp:effectExtent b="0" l="0" r="0" t="0"/>
          <wp:wrapSquare wrapText="bothSides" distB="19050" distT="19050" distL="19050" distR="1905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6677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1"/>
      <w:tblW w:w="15660.0" w:type="dxa"/>
      <w:jc w:val="left"/>
      <w:tblInd w:w="-620.0" w:type="dxa"/>
      <w:tblLayout w:type="fixed"/>
      <w:tblLook w:val="0600"/>
    </w:tblPr>
    <w:tblGrid>
      <w:gridCol w:w="7710"/>
      <w:gridCol w:w="7950"/>
      <w:tblGridChange w:id="0">
        <w:tblGrid>
          <w:gridCol w:w="7710"/>
          <w:gridCol w:w="7950"/>
        </w:tblGrid>
      </w:tblGridChange>
    </w:tblGrid>
    <w:tr>
      <w:trPr>
        <w:trHeight w:val="860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5">
          <w:pPr>
            <w:spacing w:line="276" w:lineRule="auto"/>
            <w:ind w:left="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Year 1 – Digital writing</w:t>
          </w:r>
        </w:p>
        <w:p w:rsidR="00000000" w:rsidDel="00000000" w:rsidP="00000000" w:rsidRDefault="00000000" w:rsidRPr="00000000" w14:paraId="00000036">
          <w:pPr>
            <w:spacing w:line="276" w:lineRule="auto"/>
            <w:ind w:left="90" w:right="-234.09448818897602" w:firstLine="0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Lesson 3 – Exploring the toolbar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37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color w:val="666666"/>
              <w:sz w:val="18"/>
              <w:szCs w:val="18"/>
              <w:rtl w:val="0"/>
            </w:rPr>
            <w:t xml:space="preserve">Learner activity sheet</w:t>
          </w:r>
        </w:p>
        <w:p w:rsidR="00000000" w:rsidDel="00000000" w:rsidP="00000000" w:rsidRDefault="00000000" w:rsidRPr="00000000" w14:paraId="00000038">
          <w:pPr>
            <w:widowControl w:val="0"/>
            <w:spacing w:line="240" w:lineRule="auto"/>
            <w:ind w:right="-5265"/>
            <w:jc w:val="right"/>
            <w:rPr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9">
          <w:pPr>
            <w:widowControl w:val="0"/>
            <w:spacing w:line="240" w:lineRule="auto"/>
            <w:ind w:right="150"/>
            <w:jc w:val="right"/>
            <w:rPr>
              <w:color w:val="666666"/>
              <w:sz w:val="18"/>
              <w:szCs w:val="18"/>
            </w:rPr>
          </w:pPr>
          <w:hyperlink r:id="rId2">
            <w:r w:rsidDel="00000000" w:rsidR="00000000" w:rsidRPr="00000000">
              <w:rPr>
                <w:color w:val="1155cc"/>
                <w:sz w:val="18"/>
                <w:szCs w:val="18"/>
                <w:u w:val="single"/>
                <w:rtl w:val="0"/>
              </w:rPr>
              <w:t xml:space="preserve">Save a copy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A">
    <w:pPr>
      <w:spacing w:line="276" w:lineRule="auto"/>
      <w:ind w:left="0" w:right="-234.09448818897602" w:firstLine="0"/>
      <w:jc w:val="left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="276" w:lineRule="auto"/>
    </w:pPr>
    <w:rPr>
      <w:rFonts w:ascii="Quicksand" w:cs="Quicksand" w:eastAsia="Quicksand" w:hAnsi="Quicksan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00" w:line="276" w:lineRule="auto"/>
    </w:pPr>
    <w:rPr>
      <w:rFonts w:ascii="Quicksand" w:cs="Quicksand" w:eastAsia="Quicksand" w:hAnsi="Quicksand"/>
      <w:b w:val="1"/>
      <w:color w:val="5b5ba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5.png"/><Relationship Id="rId13" Type="http://schemas.openxmlformats.org/officeDocument/2006/relationships/hyperlink" Target="https://ncce.io/cm1w-3-a3-w" TargetMode="Externa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eader" Target="header1.xml"/><Relationship Id="rId14" Type="http://schemas.openxmlformats.org/officeDocument/2006/relationships/hyperlink" Target="https://ncce.io/ogl" TargetMode="Externa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s://docs.google.com/document/d/1iZl7zbjGDErK8wMNg0RErdI_6i4d7HtA2rO_GKYV8hk/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